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B203" w14:textId="476A14C0" w:rsidR="00D56B47" w:rsidRPr="00740085" w:rsidRDefault="002C2303" w:rsidP="00740D53">
      <w:pPr>
        <w:spacing w:after="0" w:line="240" w:lineRule="auto"/>
        <w:jc w:val="center"/>
        <w:textAlignment w:val="baseline"/>
        <w:rPr>
          <w:rFonts w:ascii="Arial" w:eastAsia="Times New Roman" w:hAnsi="Arial" w:cs="Arial"/>
          <w:sz w:val="18"/>
          <w:szCs w:val="18"/>
        </w:rPr>
      </w:pPr>
      <w:r>
        <w:rPr>
          <w:rFonts w:ascii="Arial" w:eastAsia="Times New Roman" w:hAnsi="Arial" w:cs="Arial"/>
          <w:b/>
          <w:bCs/>
          <w:sz w:val="24"/>
          <w:szCs w:val="24"/>
        </w:rPr>
        <w:t>Police Ombudsman for Northern Ireland</w:t>
      </w:r>
    </w:p>
    <w:p w14:paraId="6D5543C6" w14:textId="6ABF89A6" w:rsidR="00D56B47" w:rsidRDefault="002C2303" w:rsidP="004E3645">
      <w:pPr>
        <w:spacing w:after="0" w:line="240" w:lineRule="auto"/>
        <w:jc w:val="center"/>
        <w:textAlignment w:val="baseline"/>
        <w:rPr>
          <w:rFonts w:ascii="Arial" w:eastAsia="Times New Roman" w:hAnsi="Arial" w:cs="Arial"/>
          <w:sz w:val="24"/>
          <w:szCs w:val="24"/>
        </w:rPr>
      </w:pPr>
      <w:r>
        <w:rPr>
          <w:rFonts w:ascii="Arial" w:eastAsia="Times New Roman" w:hAnsi="Arial" w:cs="Arial"/>
          <w:b/>
          <w:bCs/>
          <w:sz w:val="24"/>
          <w:szCs w:val="24"/>
        </w:rPr>
        <w:t xml:space="preserve">Summary: </w:t>
      </w:r>
      <w:r w:rsidR="00D56B47" w:rsidRPr="00740085">
        <w:rPr>
          <w:rFonts w:ascii="Arial" w:eastAsia="Times New Roman" w:hAnsi="Arial" w:cs="Arial"/>
          <w:b/>
          <w:bCs/>
          <w:sz w:val="24"/>
          <w:szCs w:val="24"/>
        </w:rPr>
        <w:t>Equality Screened Policies </w:t>
      </w:r>
      <w:r w:rsidR="00D56B47">
        <w:rPr>
          <w:rFonts w:ascii="Arial" w:eastAsia="Times New Roman" w:hAnsi="Arial" w:cs="Arial"/>
          <w:b/>
          <w:bCs/>
          <w:sz w:val="24"/>
          <w:szCs w:val="24"/>
        </w:rPr>
        <w:t xml:space="preserve">1 </w:t>
      </w:r>
      <w:r w:rsidR="002152CE">
        <w:rPr>
          <w:rFonts w:ascii="Arial" w:eastAsia="Times New Roman" w:hAnsi="Arial" w:cs="Arial"/>
          <w:b/>
          <w:bCs/>
          <w:sz w:val="24"/>
          <w:szCs w:val="24"/>
        </w:rPr>
        <w:t>January</w:t>
      </w:r>
      <w:r>
        <w:rPr>
          <w:rFonts w:ascii="Arial" w:eastAsia="Times New Roman" w:hAnsi="Arial" w:cs="Arial"/>
          <w:b/>
          <w:bCs/>
          <w:sz w:val="24"/>
          <w:szCs w:val="24"/>
        </w:rPr>
        <w:t xml:space="preserve"> – 31 </w:t>
      </w:r>
      <w:r w:rsidR="00FE141D">
        <w:rPr>
          <w:rFonts w:ascii="Arial" w:eastAsia="Times New Roman" w:hAnsi="Arial" w:cs="Arial"/>
          <w:b/>
          <w:bCs/>
          <w:sz w:val="24"/>
          <w:szCs w:val="24"/>
        </w:rPr>
        <w:t>December</w:t>
      </w:r>
      <w:r w:rsidR="00883C2F">
        <w:rPr>
          <w:rFonts w:ascii="Arial" w:eastAsia="Times New Roman" w:hAnsi="Arial" w:cs="Arial"/>
          <w:b/>
          <w:bCs/>
          <w:sz w:val="24"/>
          <w:szCs w:val="24"/>
        </w:rPr>
        <w:t xml:space="preserve"> 202</w:t>
      </w:r>
      <w:r w:rsidR="00DF5387">
        <w:rPr>
          <w:rFonts w:ascii="Arial" w:eastAsia="Times New Roman" w:hAnsi="Arial" w:cs="Arial"/>
          <w:b/>
          <w:bCs/>
          <w:sz w:val="24"/>
          <w:szCs w:val="24"/>
        </w:rPr>
        <w:t>3</w:t>
      </w:r>
      <w:r w:rsidR="00D56B47" w:rsidRPr="00740085">
        <w:rPr>
          <w:rFonts w:ascii="Arial" w:eastAsia="Times New Roman" w:hAnsi="Arial" w:cs="Arial"/>
          <w:sz w:val="24"/>
          <w:szCs w:val="24"/>
        </w:rPr>
        <w:t> </w:t>
      </w:r>
    </w:p>
    <w:p w14:paraId="34DBF55D" w14:textId="77777777" w:rsidR="002C2303" w:rsidRDefault="002C2303" w:rsidP="004E3645">
      <w:pPr>
        <w:spacing w:after="0" w:line="240" w:lineRule="auto"/>
        <w:jc w:val="center"/>
        <w:textAlignment w:val="baseline"/>
        <w:rPr>
          <w:rFonts w:ascii="Arial" w:eastAsia="Times New Roman" w:hAnsi="Arial" w:cs="Arial"/>
          <w:sz w:val="24"/>
          <w:szCs w:val="24"/>
        </w:rPr>
      </w:pPr>
    </w:p>
    <w:p w14:paraId="7560C680" w14:textId="08CD978A" w:rsidR="002C2303" w:rsidRDefault="002C2303" w:rsidP="004E3645">
      <w:pPr>
        <w:spacing w:after="0" w:line="240" w:lineRule="auto"/>
        <w:jc w:val="center"/>
        <w:textAlignment w:val="baseline"/>
        <w:rPr>
          <w:rFonts w:ascii="Arial" w:eastAsia="Times New Roman" w:hAnsi="Arial" w:cs="Arial"/>
          <w:sz w:val="24"/>
          <w:szCs w:val="24"/>
        </w:rPr>
      </w:pPr>
      <w:r>
        <w:rPr>
          <w:rFonts w:ascii="Arial" w:eastAsia="Times New Roman" w:hAnsi="Arial" w:cs="Arial"/>
          <w:sz w:val="24"/>
          <w:szCs w:val="24"/>
        </w:rPr>
        <w:t xml:space="preserve">To request a copy of screening documents associated with each policy, please </w:t>
      </w:r>
      <w:r w:rsidRPr="00AB36AC">
        <w:rPr>
          <w:rFonts w:ascii="Arial" w:eastAsia="Times New Roman" w:hAnsi="Arial" w:cs="Arial"/>
          <w:sz w:val="24"/>
          <w:szCs w:val="24"/>
        </w:rPr>
        <w:t>contact</w:t>
      </w:r>
      <w:r w:rsidR="00AB36AC">
        <w:rPr>
          <w:rFonts w:ascii="Arial" w:eastAsia="Times New Roman" w:hAnsi="Arial" w:cs="Arial"/>
          <w:sz w:val="24"/>
          <w:szCs w:val="24"/>
        </w:rPr>
        <w:t xml:space="preserve"> hr@policeombudsman.org</w:t>
      </w:r>
    </w:p>
    <w:p w14:paraId="1BCAAB90" w14:textId="77777777" w:rsidR="00213F66" w:rsidRPr="00740085" w:rsidRDefault="00213F66" w:rsidP="004E3645">
      <w:pPr>
        <w:spacing w:after="0" w:line="240" w:lineRule="auto"/>
        <w:jc w:val="center"/>
        <w:textAlignment w:val="baseline"/>
        <w:rPr>
          <w:rFonts w:ascii="Arial" w:eastAsia="Times New Roman" w:hAnsi="Arial" w:cs="Arial"/>
          <w:sz w:val="18"/>
          <w:szCs w:val="18"/>
        </w:rPr>
      </w:pPr>
    </w:p>
    <w:tbl>
      <w:tblPr>
        <w:tblStyle w:val="TableGrid"/>
        <w:tblW w:w="13036" w:type="dxa"/>
        <w:tblLook w:val="04A0" w:firstRow="1" w:lastRow="0" w:firstColumn="1" w:lastColumn="0" w:noHBand="0" w:noVBand="1"/>
        <w:tblCaption w:val="Equality Outcomes "/>
        <w:tblDescription w:val="Equality screening outcomes "/>
      </w:tblPr>
      <w:tblGrid>
        <w:gridCol w:w="2122"/>
        <w:gridCol w:w="1659"/>
        <w:gridCol w:w="6279"/>
        <w:gridCol w:w="2976"/>
      </w:tblGrid>
      <w:tr w:rsidR="002C2303" w:rsidRPr="00896E4F" w14:paraId="31CA8743" w14:textId="77777777" w:rsidTr="00F94544">
        <w:trPr>
          <w:tblHeader/>
        </w:trPr>
        <w:tc>
          <w:tcPr>
            <w:tcW w:w="2122" w:type="dxa"/>
            <w:hideMark/>
          </w:tcPr>
          <w:p w14:paraId="7B15F2F2" w14:textId="77777777" w:rsidR="002C2303" w:rsidRPr="00F94544" w:rsidRDefault="002C2303" w:rsidP="002D2B5E">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Policy Title</w:t>
            </w:r>
            <w:r w:rsidRPr="00F94544">
              <w:rPr>
                <w:rFonts w:ascii="Arial" w:eastAsia="Times New Roman" w:hAnsi="Arial" w:cs="Arial"/>
                <w:sz w:val="24"/>
                <w:szCs w:val="24"/>
              </w:rPr>
              <w:t> </w:t>
            </w:r>
          </w:p>
        </w:tc>
        <w:tc>
          <w:tcPr>
            <w:tcW w:w="1659" w:type="dxa"/>
            <w:hideMark/>
          </w:tcPr>
          <w:p w14:paraId="14161D09" w14:textId="77777777" w:rsidR="002C2303" w:rsidRPr="00F94544" w:rsidRDefault="002C2303" w:rsidP="002D2B5E">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Date Screened</w:t>
            </w:r>
            <w:r w:rsidRPr="00F94544">
              <w:rPr>
                <w:rFonts w:ascii="Arial" w:eastAsia="Times New Roman" w:hAnsi="Arial" w:cs="Arial"/>
                <w:sz w:val="24"/>
                <w:szCs w:val="24"/>
              </w:rPr>
              <w:t> </w:t>
            </w:r>
          </w:p>
        </w:tc>
        <w:tc>
          <w:tcPr>
            <w:tcW w:w="6279" w:type="dxa"/>
            <w:hideMark/>
          </w:tcPr>
          <w:p w14:paraId="2F64A422" w14:textId="5F77E240" w:rsidR="002C2303" w:rsidRPr="00F94544" w:rsidRDefault="002C2303" w:rsidP="002C2303">
            <w:pPr>
              <w:jc w:val="center"/>
              <w:textAlignment w:val="baseline"/>
              <w:rPr>
                <w:rFonts w:ascii="Arial" w:eastAsia="Times New Roman" w:hAnsi="Arial" w:cs="Arial"/>
                <w:sz w:val="24"/>
                <w:szCs w:val="24"/>
              </w:rPr>
            </w:pPr>
            <w:r w:rsidRPr="00F94544">
              <w:rPr>
                <w:rFonts w:ascii="Arial" w:eastAsia="Times New Roman" w:hAnsi="Arial" w:cs="Arial"/>
                <w:b/>
                <w:bCs/>
                <w:sz w:val="24"/>
                <w:szCs w:val="24"/>
              </w:rPr>
              <w:t>Policy Aim</w:t>
            </w:r>
            <w:r w:rsidRPr="00F94544">
              <w:rPr>
                <w:rFonts w:ascii="Arial" w:eastAsia="Times New Roman" w:hAnsi="Arial" w:cs="Arial"/>
                <w:sz w:val="24"/>
                <w:szCs w:val="24"/>
              </w:rPr>
              <w:t> </w:t>
            </w:r>
          </w:p>
        </w:tc>
        <w:tc>
          <w:tcPr>
            <w:tcW w:w="2976" w:type="dxa"/>
            <w:hideMark/>
          </w:tcPr>
          <w:p w14:paraId="77AC8DD8" w14:textId="77777777" w:rsidR="002C2303" w:rsidRPr="00740085" w:rsidRDefault="002C2303" w:rsidP="002D2B5E">
            <w:pPr>
              <w:textAlignment w:val="baseline"/>
              <w:rPr>
                <w:rFonts w:ascii="Arial" w:eastAsia="Times New Roman" w:hAnsi="Arial" w:cs="Arial"/>
                <w:sz w:val="24"/>
                <w:szCs w:val="24"/>
              </w:rPr>
            </w:pPr>
            <w:r w:rsidRPr="00740085">
              <w:rPr>
                <w:rFonts w:ascii="Arial" w:eastAsia="Times New Roman" w:hAnsi="Arial" w:cs="Arial"/>
                <w:b/>
                <w:bCs/>
                <w:sz w:val="24"/>
                <w:szCs w:val="24"/>
              </w:rPr>
              <w:t>Screening Outcomes</w:t>
            </w:r>
            <w:r w:rsidRPr="00740085">
              <w:rPr>
                <w:rFonts w:ascii="Arial" w:eastAsia="Times New Roman" w:hAnsi="Arial" w:cs="Arial"/>
                <w:sz w:val="24"/>
                <w:szCs w:val="24"/>
              </w:rPr>
              <w:t> </w:t>
            </w:r>
          </w:p>
        </w:tc>
      </w:tr>
      <w:tr w:rsidR="00F94544" w:rsidRPr="00896E4F" w14:paraId="20DB2BC0" w14:textId="77777777" w:rsidTr="00F94544">
        <w:tc>
          <w:tcPr>
            <w:tcW w:w="2122" w:type="dxa"/>
          </w:tcPr>
          <w:p w14:paraId="6D40BEF4" w14:textId="77777777" w:rsidR="00F94544" w:rsidRDefault="00DF5387" w:rsidP="002D2B5E">
            <w:pPr>
              <w:textAlignment w:val="baseline"/>
              <w:rPr>
                <w:rFonts w:ascii="Arial" w:hAnsi="Arial" w:cs="Arial"/>
                <w:sz w:val="24"/>
                <w:szCs w:val="24"/>
              </w:rPr>
            </w:pPr>
            <w:r>
              <w:rPr>
                <w:rFonts w:ascii="Arial" w:hAnsi="Arial" w:cs="Arial"/>
                <w:sz w:val="24"/>
                <w:szCs w:val="24"/>
              </w:rPr>
              <w:t>Health and Safety Policy</w:t>
            </w:r>
          </w:p>
          <w:p w14:paraId="6309D9F4" w14:textId="6EFE0833" w:rsidR="00DF5387" w:rsidRPr="00F94544" w:rsidRDefault="00DF5387" w:rsidP="002D2B5E">
            <w:pPr>
              <w:textAlignment w:val="baseline"/>
              <w:rPr>
                <w:rFonts w:ascii="Arial" w:eastAsia="Times New Roman" w:hAnsi="Arial" w:cs="Arial"/>
                <w:sz w:val="24"/>
                <w:szCs w:val="24"/>
              </w:rPr>
            </w:pPr>
          </w:p>
        </w:tc>
        <w:tc>
          <w:tcPr>
            <w:tcW w:w="1659" w:type="dxa"/>
          </w:tcPr>
          <w:p w14:paraId="0BFB4374" w14:textId="657284A8" w:rsidR="00F94544" w:rsidRPr="00F94544" w:rsidRDefault="00DF5387" w:rsidP="00DF5387">
            <w:pPr>
              <w:jc w:val="center"/>
              <w:textAlignment w:val="baseline"/>
              <w:rPr>
                <w:rFonts w:ascii="Arial" w:eastAsia="Times New Roman" w:hAnsi="Arial" w:cs="Arial"/>
                <w:sz w:val="24"/>
                <w:szCs w:val="24"/>
              </w:rPr>
            </w:pPr>
            <w:r>
              <w:rPr>
                <w:rFonts w:ascii="Arial" w:eastAsia="Times New Roman" w:hAnsi="Arial" w:cs="Arial"/>
                <w:sz w:val="24"/>
                <w:szCs w:val="24"/>
              </w:rPr>
              <w:t>10</w:t>
            </w:r>
            <w:r w:rsidR="00F94544" w:rsidRPr="00F94544">
              <w:rPr>
                <w:rFonts w:ascii="Arial" w:eastAsia="Times New Roman" w:hAnsi="Arial" w:cs="Arial"/>
                <w:sz w:val="24"/>
                <w:szCs w:val="24"/>
              </w:rPr>
              <w:t>/0</w:t>
            </w:r>
            <w:r>
              <w:rPr>
                <w:rFonts w:ascii="Arial" w:eastAsia="Times New Roman" w:hAnsi="Arial" w:cs="Arial"/>
                <w:sz w:val="24"/>
                <w:szCs w:val="24"/>
              </w:rPr>
              <w:t>1</w:t>
            </w:r>
            <w:r w:rsidR="00F94544" w:rsidRPr="00F94544">
              <w:rPr>
                <w:rFonts w:ascii="Arial" w:eastAsia="Times New Roman" w:hAnsi="Arial" w:cs="Arial"/>
                <w:sz w:val="24"/>
                <w:szCs w:val="24"/>
              </w:rPr>
              <w:t>/</w:t>
            </w:r>
            <w:r w:rsidR="00836743">
              <w:rPr>
                <w:rFonts w:ascii="Arial" w:eastAsia="Times New Roman" w:hAnsi="Arial" w:cs="Arial"/>
                <w:sz w:val="24"/>
                <w:szCs w:val="24"/>
              </w:rPr>
              <w:t>20</w:t>
            </w:r>
            <w:r w:rsidR="00F94544" w:rsidRPr="00F94544">
              <w:rPr>
                <w:rFonts w:ascii="Arial" w:eastAsia="Times New Roman" w:hAnsi="Arial" w:cs="Arial"/>
                <w:sz w:val="24"/>
                <w:szCs w:val="24"/>
              </w:rPr>
              <w:t>2</w:t>
            </w:r>
            <w:r>
              <w:rPr>
                <w:rFonts w:ascii="Arial" w:eastAsia="Times New Roman" w:hAnsi="Arial" w:cs="Arial"/>
                <w:sz w:val="24"/>
                <w:szCs w:val="24"/>
              </w:rPr>
              <w:t>3</w:t>
            </w:r>
          </w:p>
        </w:tc>
        <w:tc>
          <w:tcPr>
            <w:tcW w:w="6279" w:type="dxa"/>
          </w:tcPr>
          <w:p w14:paraId="41577C80" w14:textId="784CCF4B" w:rsidR="00F94544" w:rsidRPr="00B12DBD" w:rsidRDefault="00B12DBD" w:rsidP="00B12DBD">
            <w:pPr>
              <w:rPr>
                <w:rFonts w:ascii="Arial" w:hAnsi="Arial" w:cs="Arial"/>
                <w:sz w:val="24"/>
                <w:szCs w:val="24"/>
              </w:rPr>
            </w:pPr>
            <w:r w:rsidRPr="00B12DBD">
              <w:rPr>
                <w:rFonts w:ascii="Arial" w:hAnsi="Arial" w:cs="Arial"/>
                <w:sz w:val="24"/>
                <w:szCs w:val="24"/>
              </w:rPr>
              <w:t xml:space="preserve">The policy details the responsibilities of all staff in relation to the promotion of health and safety in the workplace and provides information on the Office’s statutory duties in ensuring the safety, </w:t>
            </w:r>
            <w:proofErr w:type="gramStart"/>
            <w:r w:rsidRPr="00B12DBD">
              <w:rPr>
                <w:rFonts w:ascii="Arial" w:hAnsi="Arial" w:cs="Arial"/>
                <w:sz w:val="24"/>
                <w:szCs w:val="24"/>
              </w:rPr>
              <w:t>health</w:t>
            </w:r>
            <w:proofErr w:type="gramEnd"/>
            <w:r w:rsidRPr="00B12DBD">
              <w:rPr>
                <w:rFonts w:ascii="Arial" w:hAnsi="Arial" w:cs="Arial"/>
                <w:sz w:val="24"/>
                <w:szCs w:val="24"/>
              </w:rPr>
              <w:t xml:space="preserve"> and welfare of all its employees at work and other people who may be affected by their activities.</w:t>
            </w:r>
          </w:p>
        </w:tc>
        <w:tc>
          <w:tcPr>
            <w:tcW w:w="2976" w:type="dxa"/>
          </w:tcPr>
          <w:p w14:paraId="02D98583" w14:textId="77777777" w:rsidR="00F94544" w:rsidRPr="00740085" w:rsidRDefault="00F94544" w:rsidP="00F94544">
            <w:pPr>
              <w:textAlignment w:val="baseline"/>
              <w:rPr>
                <w:rFonts w:ascii="Arial" w:eastAsia="Times New Roman" w:hAnsi="Arial" w:cs="Arial"/>
                <w:sz w:val="24"/>
                <w:szCs w:val="24"/>
              </w:rPr>
            </w:pPr>
            <w:r>
              <w:rPr>
                <w:rFonts w:ascii="Arial" w:eastAsia="Times New Roman" w:hAnsi="Arial" w:cs="Arial"/>
                <w:sz w:val="24"/>
                <w:szCs w:val="24"/>
              </w:rPr>
              <w:t>Screened Out</w:t>
            </w:r>
          </w:p>
          <w:p w14:paraId="54501FA7" w14:textId="77777777" w:rsidR="00F94544" w:rsidRPr="00896E4F" w:rsidRDefault="00F94544" w:rsidP="002D2B5E">
            <w:pPr>
              <w:textAlignment w:val="baseline"/>
              <w:rPr>
                <w:rFonts w:ascii="Arial" w:eastAsia="Times New Roman" w:hAnsi="Arial" w:cs="Arial"/>
                <w:sz w:val="24"/>
                <w:szCs w:val="24"/>
              </w:rPr>
            </w:pPr>
          </w:p>
        </w:tc>
      </w:tr>
      <w:tr w:rsidR="005A7896" w:rsidRPr="00896E4F" w14:paraId="6E590667" w14:textId="77777777" w:rsidTr="00F94544">
        <w:tc>
          <w:tcPr>
            <w:tcW w:w="2122" w:type="dxa"/>
          </w:tcPr>
          <w:p w14:paraId="1593784E" w14:textId="05CE7953" w:rsidR="005A7896" w:rsidRDefault="005A7896" w:rsidP="002D2B5E">
            <w:pPr>
              <w:textAlignment w:val="baseline"/>
              <w:rPr>
                <w:rFonts w:ascii="Arial" w:hAnsi="Arial" w:cs="Arial"/>
                <w:sz w:val="24"/>
                <w:szCs w:val="24"/>
              </w:rPr>
            </w:pPr>
            <w:r>
              <w:rPr>
                <w:rFonts w:ascii="Arial" w:hAnsi="Arial" w:cs="Arial"/>
                <w:sz w:val="24"/>
                <w:szCs w:val="24"/>
              </w:rPr>
              <w:t>Responding to Information Requests Policy</w:t>
            </w:r>
          </w:p>
        </w:tc>
        <w:tc>
          <w:tcPr>
            <w:tcW w:w="1659" w:type="dxa"/>
          </w:tcPr>
          <w:p w14:paraId="557B1357" w14:textId="5D112BBC" w:rsidR="005A7896" w:rsidRDefault="005A7896" w:rsidP="00DF5387">
            <w:pPr>
              <w:jc w:val="center"/>
              <w:textAlignment w:val="baseline"/>
              <w:rPr>
                <w:rFonts w:ascii="Arial" w:eastAsia="Times New Roman" w:hAnsi="Arial" w:cs="Arial"/>
                <w:sz w:val="24"/>
                <w:szCs w:val="24"/>
              </w:rPr>
            </w:pPr>
            <w:r>
              <w:rPr>
                <w:rFonts w:ascii="Arial" w:eastAsia="Times New Roman" w:hAnsi="Arial" w:cs="Arial"/>
                <w:sz w:val="24"/>
                <w:szCs w:val="24"/>
              </w:rPr>
              <w:t>22/02/2022</w:t>
            </w:r>
          </w:p>
        </w:tc>
        <w:tc>
          <w:tcPr>
            <w:tcW w:w="6279" w:type="dxa"/>
          </w:tcPr>
          <w:p w14:paraId="1CE926BA" w14:textId="367803E1" w:rsidR="005A7896" w:rsidRPr="005A7896" w:rsidRDefault="005A7896" w:rsidP="005A7896">
            <w:pPr>
              <w:rPr>
                <w:rFonts w:ascii="Arial" w:hAnsi="Arial" w:cs="Arial"/>
                <w:sz w:val="24"/>
                <w:szCs w:val="24"/>
              </w:rPr>
            </w:pPr>
            <w:r w:rsidRPr="005A7896">
              <w:rPr>
                <w:rFonts w:ascii="Arial" w:hAnsi="Arial" w:cs="Arial"/>
                <w:sz w:val="24"/>
                <w:szCs w:val="24"/>
              </w:rPr>
              <w:t>The policy sets out the Police Ombudsman’s commitment to openness and transparency in the provision of information about the police complaints system and the parameters in which information will be provided within the requirements of the law and of public interest.</w:t>
            </w:r>
          </w:p>
          <w:p w14:paraId="6DA1C3A0" w14:textId="77777777" w:rsidR="005A7896" w:rsidRPr="00B12DBD" w:rsidRDefault="005A7896" w:rsidP="00B12DBD">
            <w:pPr>
              <w:rPr>
                <w:rFonts w:ascii="Arial" w:hAnsi="Arial" w:cs="Arial"/>
                <w:sz w:val="24"/>
                <w:szCs w:val="24"/>
              </w:rPr>
            </w:pPr>
          </w:p>
        </w:tc>
        <w:tc>
          <w:tcPr>
            <w:tcW w:w="2976" w:type="dxa"/>
          </w:tcPr>
          <w:p w14:paraId="71DAB4DA" w14:textId="2DCA8A78" w:rsidR="005A7896" w:rsidRDefault="005A7896" w:rsidP="00F94544">
            <w:pPr>
              <w:textAlignment w:val="baseline"/>
              <w:rPr>
                <w:rFonts w:ascii="Arial" w:eastAsia="Times New Roman" w:hAnsi="Arial" w:cs="Arial"/>
                <w:sz w:val="24"/>
                <w:szCs w:val="24"/>
              </w:rPr>
            </w:pPr>
            <w:r>
              <w:rPr>
                <w:rFonts w:ascii="Arial" w:eastAsia="Times New Roman" w:hAnsi="Arial" w:cs="Arial"/>
                <w:sz w:val="24"/>
                <w:szCs w:val="24"/>
              </w:rPr>
              <w:t>Screened Out</w:t>
            </w:r>
          </w:p>
        </w:tc>
      </w:tr>
    </w:tbl>
    <w:p w14:paraId="3EF2BD0D" w14:textId="2BC01BCF" w:rsidR="00D56B47" w:rsidRPr="00883C2F" w:rsidRDefault="00D56B47" w:rsidP="00D56B47">
      <w:pPr>
        <w:rPr>
          <w:rFonts w:ascii="Calibri" w:eastAsia="Times New Roman" w:hAnsi="Calibri" w:cs="Calibri"/>
        </w:rPr>
      </w:pPr>
    </w:p>
    <w:sectPr w:rsidR="00D56B47" w:rsidRPr="00883C2F" w:rsidSect="00F94544">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648E" w14:textId="77777777" w:rsidR="004217BA" w:rsidRDefault="004217BA" w:rsidP="00740D53">
      <w:pPr>
        <w:spacing w:after="0" w:line="240" w:lineRule="auto"/>
      </w:pPr>
      <w:r>
        <w:separator/>
      </w:r>
    </w:p>
  </w:endnote>
  <w:endnote w:type="continuationSeparator" w:id="0">
    <w:p w14:paraId="677E7796" w14:textId="77777777" w:rsidR="004217BA" w:rsidRDefault="004217BA" w:rsidP="0074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940"/>
      <w:docPartObj>
        <w:docPartGallery w:val="Page Numbers (Bottom of Page)"/>
        <w:docPartUnique/>
      </w:docPartObj>
    </w:sdtPr>
    <w:sdtEndPr>
      <w:rPr>
        <w:noProof/>
      </w:rPr>
    </w:sdtEndPr>
    <w:sdtContent>
      <w:p w14:paraId="56F3527D" w14:textId="350B7A23" w:rsidR="00740D53" w:rsidRDefault="00740D53">
        <w:pPr>
          <w:pStyle w:val="Footer"/>
          <w:jc w:val="center"/>
        </w:pPr>
        <w:r>
          <w:fldChar w:fldCharType="begin"/>
        </w:r>
        <w:r>
          <w:instrText xml:space="preserve"> PAGE   \* MERGEFORMAT </w:instrText>
        </w:r>
        <w:r>
          <w:fldChar w:fldCharType="separate"/>
        </w:r>
        <w:r w:rsidR="005A7896">
          <w:rPr>
            <w:noProof/>
          </w:rPr>
          <w:t>1</w:t>
        </w:r>
        <w:r>
          <w:rPr>
            <w:noProof/>
          </w:rPr>
          <w:fldChar w:fldCharType="end"/>
        </w:r>
      </w:p>
    </w:sdtContent>
  </w:sdt>
  <w:p w14:paraId="6E35D776" w14:textId="77777777" w:rsidR="00740D53" w:rsidRDefault="0074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DDEC" w14:textId="77777777" w:rsidR="004217BA" w:rsidRDefault="004217BA" w:rsidP="00740D53">
      <w:pPr>
        <w:spacing w:after="0" w:line="240" w:lineRule="auto"/>
      </w:pPr>
      <w:r>
        <w:separator/>
      </w:r>
    </w:p>
  </w:footnote>
  <w:footnote w:type="continuationSeparator" w:id="0">
    <w:p w14:paraId="222A4869" w14:textId="77777777" w:rsidR="004217BA" w:rsidRDefault="004217BA" w:rsidP="0074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425"/>
    <w:multiLevelType w:val="hybridMultilevel"/>
    <w:tmpl w:val="E94EE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D5268"/>
    <w:multiLevelType w:val="hybridMultilevel"/>
    <w:tmpl w:val="35741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F90A51"/>
    <w:multiLevelType w:val="hybridMultilevel"/>
    <w:tmpl w:val="0BE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0322C"/>
    <w:multiLevelType w:val="hybridMultilevel"/>
    <w:tmpl w:val="63C292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1C90898"/>
    <w:multiLevelType w:val="hybridMultilevel"/>
    <w:tmpl w:val="C2664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D02F3A"/>
    <w:multiLevelType w:val="hybridMultilevel"/>
    <w:tmpl w:val="0A56DF6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54AD488A"/>
    <w:multiLevelType w:val="hybridMultilevel"/>
    <w:tmpl w:val="1DA0D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EA4BE6"/>
    <w:multiLevelType w:val="hybridMultilevel"/>
    <w:tmpl w:val="1C6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637410">
    <w:abstractNumId w:val="0"/>
  </w:num>
  <w:num w:numId="2" w16cid:durableId="43408274">
    <w:abstractNumId w:val="1"/>
  </w:num>
  <w:num w:numId="3" w16cid:durableId="1289898662">
    <w:abstractNumId w:val="2"/>
  </w:num>
  <w:num w:numId="4" w16cid:durableId="592054115">
    <w:abstractNumId w:val="6"/>
  </w:num>
  <w:num w:numId="5" w16cid:durableId="1352872855">
    <w:abstractNumId w:val="4"/>
  </w:num>
  <w:num w:numId="6" w16cid:durableId="2088963315">
    <w:abstractNumId w:val="5"/>
  </w:num>
  <w:num w:numId="7" w16cid:durableId="1901863990">
    <w:abstractNumId w:val="3"/>
  </w:num>
  <w:num w:numId="8" w16cid:durableId="1652372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03"/>
    <w:rsid w:val="000128BF"/>
    <w:rsid w:val="001742E6"/>
    <w:rsid w:val="00185F13"/>
    <w:rsid w:val="001B7989"/>
    <w:rsid w:val="00213F66"/>
    <w:rsid w:val="002152CE"/>
    <w:rsid w:val="00280F1A"/>
    <w:rsid w:val="002C2303"/>
    <w:rsid w:val="002D2726"/>
    <w:rsid w:val="002F29DA"/>
    <w:rsid w:val="0039504B"/>
    <w:rsid w:val="003A6D9E"/>
    <w:rsid w:val="003D4B67"/>
    <w:rsid w:val="00402A11"/>
    <w:rsid w:val="004217BA"/>
    <w:rsid w:val="004A41AD"/>
    <w:rsid w:val="004E3645"/>
    <w:rsid w:val="004E6203"/>
    <w:rsid w:val="00560933"/>
    <w:rsid w:val="005A7896"/>
    <w:rsid w:val="00630C3E"/>
    <w:rsid w:val="006D7945"/>
    <w:rsid w:val="006E202C"/>
    <w:rsid w:val="00740D53"/>
    <w:rsid w:val="00782A0F"/>
    <w:rsid w:val="007B30F3"/>
    <w:rsid w:val="008064DC"/>
    <w:rsid w:val="00836743"/>
    <w:rsid w:val="00883C2F"/>
    <w:rsid w:val="008952F7"/>
    <w:rsid w:val="009B2173"/>
    <w:rsid w:val="009B54C5"/>
    <w:rsid w:val="009C75F2"/>
    <w:rsid w:val="009F2D7C"/>
    <w:rsid w:val="00A24A8B"/>
    <w:rsid w:val="00AB36AC"/>
    <w:rsid w:val="00AE1268"/>
    <w:rsid w:val="00AE44A3"/>
    <w:rsid w:val="00B01821"/>
    <w:rsid w:val="00B12DBD"/>
    <w:rsid w:val="00B96F73"/>
    <w:rsid w:val="00C86884"/>
    <w:rsid w:val="00CB190D"/>
    <w:rsid w:val="00CC1C38"/>
    <w:rsid w:val="00D12C28"/>
    <w:rsid w:val="00D56B47"/>
    <w:rsid w:val="00D74F5F"/>
    <w:rsid w:val="00DA7CE9"/>
    <w:rsid w:val="00DF5387"/>
    <w:rsid w:val="00E2350E"/>
    <w:rsid w:val="00E8295B"/>
    <w:rsid w:val="00EC18B6"/>
    <w:rsid w:val="00F03BA5"/>
    <w:rsid w:val="00F32726"/>
    <w:rsid w:val="00F55D29"/>
    <w:rsid w:val="00F81301"/>
    <w:rsid w:val="00F94544"/>
    <w:rsid w:val="00FE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4C6D"/>
  <w15:chartTrackingRefBased/>
  <w15:docId w15:val="{F721E15E-6D5E-4F8F-A733-C9019980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2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85F13"/>
  </w:style>
  <w:style w:type="paragraph" w:styleId="NoSpacing">
    <w:name w:val="No Spacing"/>
    <w:link w:val="NoSpacingChar"/>
    <w:uiPriority w:val="1"/>
    <w:qFormat/>
    <w:rsid w:val="00185F13"/>
    <w:pPr>
      <w:spacing w:after="0" w:line="240" w:lineRule="auto"/>
    </w:pPr>
  </w:style>
  <w:style w:type="paragraph" w:styleId="NormalWeb">
    <w:name w:val="Normal (Web)"/>
    <w:basedOn w:val="Normal"/>
    <w:uiPriority w:val="99"/>
    <w:unhideWhenUsed/>
    <w:rsid w:val="008952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DC"/>
    <w:rPr>
      <w:rFonts w:ascii="Segoe UI" w:hAnsi="Segoe UI" w:cs="Segoe UI"/>
      <w:sz w:val="18"/>
      <w:szCs w:val="18"/>
      <w:lang w:val="en-GB"/>
    </w:rPr>
  </w:style>
  <w:style w:type="paragraph" w:styleId="ListParagraph">
    <w:name w:val="List Paragraph"/>
    <w:aliases w:val="Table Figure,Dot pt,No Spacing1,List Paragraph Char Char Char,Indicator Text,Numbered Para 1,List Paragraph1,Bullet Points,MAIN CONTENT,Bullet Style,List Paragraph2,OBC Bullet,List Paragraph11,List Paragraph12,F5 List Paragraph"/>
    <w:basedOn w:val="Normal"/>
    <w:link w:val="ListParagraphChar"/>
    <w:uiPriority w:val="34"/>
    <w:qFormat/>
    <w:rsid w:val="00D56B47"/>
    <w:pPr>
      <w:spacing w:after="0" w:line="240" w:lineRule="auto"/>
      <w:ind w:left="720"/>
      <w:contextualSpacing/>
    </w:pPr>
    <w:rPr>
      <w:rFonts w:ascii="Arial" w:eastAsia="Times New Roman" w:hAnsi="Arial" w:cs="Times New Roman"/>
      <w:sz w:val="24"/>
      <w:szCs w:val="20"/>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Bullet Style Char,List Paragraph2 Char"/>
    <w:link w:val="ListParagraph"/>
    <w:uiPriority w:val="34"/>
    <w:qFormat/>
    <w:locked/>
    <w:rsid w:val="0039504B"/>
    <w:rPr>
      <w:rFonts w:ascii="Arial" w:eastAsia="Times New Roman" w:hAnsi="Arial" w:cs="Times New Roman"/>
      <w:sz w:val="24"/>
      <w:szCs w:val="20"/>
      <w:lang w:val="en-GB"/>
    </w:rPr>
  </w:style>
  <w:style w:type="paragraph" w:styleId="Header">
    <w:name w:val="header"/>
    <w:basedOn w:val="Normal"/>
    <w:link w:val="HeaderChar"/>
    <w:uiPriority w:val="99"/>
    <w:unhideWhenUsed/>
    <w:rsid w:val="0074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53"/>
    <w:rPr>
      <w:lang w:val="en-GB"/>
    </w:rPr>
  </w:style>
  <w:style w:type="paragraph" w:styleId="Footer">
    <w:name w:val="footer"/>
    <w:basedOn w:val="Normal"/>
    <w:link w:val="FooterChar"/>
    <w:uiPriority w:val="99"/>
    <w:unhideWhenUsed/>
    <w:rsid w:val="0074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183">
      <w:bodyDiv w:val="1"/>
      <w:marLeft w:val="0"/>
      <w:marRight w:val="0"/>
      <w:marTop w:val="0"/>
      <w:marBottom w:val="0"/>
      <w:divBdr>
        <w:top w:val="none" w:sz="0" w:space="0" w:color="auto"/>
        <w:left w:val="none" w:sz="0" w:space="0" w:color="auto"/>
        <w:bottom w:val="none" w:sz="0" w:space="0" w:color="auto"/>
        <w:right w:val="none" w:sz="0" w:space="0" w:color="auto"/>
      </w:divBdr>
    </w:div>
    <w:div w:id="154416520">
      <w:bodyDiv w:val="1"/>
      <w:marLeft w:val="0"/>
      <w:marRight w:val="0"/>
      <w:marTop w:val="0"/>
      <w:marBottom w:val="0"/>
      <w:divBdr>
        <w:top w:val="none" w:sz="0" w:space="0" w:color="auto"/>
        <w:left w:val="none" w:sz="0" w:space="0" w:color="auto"/>
        <w:bottom w:val="none" w:sz="0" w:space="0" w:color="auto"/>
        <w:right w:val="none" w:sz="0" w:space="0" w:color="auto"/>
      </w:divBdr>
    </w:div>
    <w:div w:id="340939872">
      <w:bodyDiv w:val="1"/>
      <w:marLeft w:val="0"/>
      <w:marRight w:val="0"/>
      <w:marTop w:val="0"/>
      <w:marBottom w:val="0"/>
      <w:divBdr>
        <w:top w:val="none" w:sz="0" w:space="0" w:color="auto"/>
        <w:left w:val="none" w:sz="0" w:space="0" w:color="auto"/>
        <w:bottom w:val="none" w:sz="0" w:space="0" w:color="auto"/>
        <w:right w:val="none" w:sz="0" w:space="0" w:color="auto"/>
      </w:divBdr>
    </w:div>
    <w:div w:id="661157435">
      <w:bodyDiv w:val="1"/>
      <w:marLeft w:val="0"/>
      <w:marRight w:val="0"/>
      <w:marTop w:val="0"/>
      <w:marBottom w:val="0"/>
      <w:divBdr>
        <w:top w:val="none" w:sz="0" w:space="0" w:color="auto"/>
        <w:left w:val="none" w:sz="0" w:space="0" w:color="auto"/>
        <w:bottom w:val="none" w:sz="0" w:space="0" w:color="auto"/>
        <w:right w:val="none" w:sz="0" w:space="0" w:color="auto"/>
      </w:divBdr>
    </w:div>
    <w:div w:id="8491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dc:creator>
  <cp:keywords/>
  <dc:description/>
  <cp:lastModifiedBy>Cathal Conway</cp:lastModifiedBy>
  <cp:revision>2</cp:revision>
  <dcterms:created xsi:type="dcterms:W3CDTF">2024-01-30T12:48:00Z</dcterms:created>
  <dcterms:modified xsi:type="dcterms:W3CDTF">2024-01-30T12:48:00Z</dcterms:modified>
</cp:coreProperties>
</file>